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4F2C" w14:textId="77777777" w:rsidR="00AD1C87" w:rsidRPr="00AD1C87" w:rsidRDefault="00AD1C87" w:rsidP="00B6163F">
      <w:pPr>
        <w:widowControl/>
        <w:spacing w:before="100" w:beforeAutospacing="1" w:after="100" w:afterAutospacing="1"/>
        <w:jc w:val="center"/>
        <w:outlineLvl w:val="1"/>
        <w:rPr>
          <w:rFonts w:ascii="新細明體" w:eastAsia="新細明體" w:hAnsi="新細明體" w:cs="新細明體"/>
          <w:b/>
          <w:bCs/>
          <w:kern w:val="0"/>
          <w:sz w:val="36"/>
          <w:szCs w:val="36"/>
        </w:rPr>
      </w:pPr>
      <w:r w:rsidRPr="00AD1C87">
        <w:rPr>
          <w:rFonts w:ascii="新細明體" w:eastAsia="新細明體" w:hAnsi="新細明體" w:cs="新細明體"/>
          <w:b/>
          <w:bCs/>
          <w:kern w:val="0"/>
          <w:sz w:val="36"/>
          <w:szCs w:val="36"/>
        </w:rPr>
        <w:t>Yuan Ze University Regulations for Handling Violations of Academic Ethics</w:t>
      </w:r>
    </w:p>
    <w:p w14:paraId="66E0002E" w14:textId="38946258" w:rsidR="00AD1C87" w:rsidRPr="00AD1C87" w:rsidRDefault="00AD1C87" w:rsidP="00D019C8">
      <w:pPr>
        <w:widowControl/>
        <w:ind w:left="360" w:rightChars="-24" w:right="-58"/>
        <w:jc w:val="right"/>
        <w:rPr>
          <w:rFonts w:ascii="新細明體" w:eastAsia="新細明體" w:hAnsi="新細明體" w:cs="新細明體"/>
          <w:kern w:val="0"/>
          <w:sz w:val="20"/>
          <w:szCs w:val="20"/>
        </w:rPr>
      </w:pPr>
      <w:r w:rsidRPr="00AD1C87">
        <w:rPr>
          <w:rFonts w:ascii="新細明體" w:eastAsia="新細明體" w:hAnsi="新細明體" w:cs="新細明體"/>
          <w:kern w:val="0"/>
          <w:sz w:val="20"/>
          <w:szCs w:val="20"/>
        </w:rPr>
        <w:t>Passed by the 6th Academic Affairs Meeting of the 2014 School Year, July 1, 2015</w:t>
      </w:r>
    </w:p>
    <w:p w14:paraId="3A73E391" w14:textId="2F8D9B1E" w:rsidR="00AD1C87" w:rsidRPr="00AD1C87" w:rsidRDefault="00AD1C87" w:rsidP="00D019C8">
      <w:pPr>
        <w:widowControl/>
        <w:ind w:left="720" w:rightChars="-24" w:right="-58"/>
        <w:jc w:val="right"/>
        <w:rPr>
          <w:rFonts w:ascii="新細明體" w:eastAsia="新細明體" w:hAnsi="新細明體" w:cs="新細明體"/>
          <w:kern w:val="0"/>
          <w:sz w:val="20"/>
          <w:szCs w:val="20"/>
        </w:rPr>
      </w:pPr>
      <w:r w:rsidRPr="00AD1C87">
        <w:rPr>
          <w:rFonts w:ascii="新細明體" w:eastAsia="新細明體" w:hAnsi="新細明體" w:cs="新細明體"/>
          <w:kern w:val="0"/>
          <w:sz w:val="20"/>
          <w:szCs w:val="20"/>
        </w:rPr>
        <w:t>Amended by the 3rd Academic Affairs Meeting of the 2017 School Year, January 10, 2018</w:t>
      </w:r>
    </w:p>
    <w:p w14:paraId="0AEDF903" w14:textId="66849CDF" w:rsidR="00AD1C87" w:rsidRPr="00AD1C87" w:rsidRDefault="00AD1C87" w:rsidP="00D019C8">
      <w:pPr>
        <w:widowControl/>
        <w:ind w:left="720" w:rightChars="-24" w:right="-58"/>
        <w:jc w:val="right"/>
        <w:rPr>
          <w:rFonts w:ascii="新細明體" w:eastAsia="新細明體" w:hAnsi="新細明體" w:cs="新細明體"/>
          <w:kern w:val="0"/>
          <w:sz w:val="20"/>
          <w:szCs w:val="20"/>
        </w:rPr>
      </w:pPr>
      <w:r w:rsidRPr="00AD1C87">
        <w:rPr>
          <w:rFonts w:ascii="新細明體" w:eastAsia="新細明體" w:hAnsi="新細明體" w:cs="新細明體"/>
          <w:kern w:val="0"/>
          <w:sz w:val="20"/>
          <w:szCs w:val="20"/>
        </w:rPr>
        <w:t>Amended by the 4th Academic Affairs Meeting of the 2021 School Year, March 2, 2022</w:t>
      </w:r>
    </w:p>
    <w:p w14:paraId="66769891" w14:textId="77964C74" w:rsidR="00AD1C87" w:rsidRPr="00AD1C87" w:rsidRDefault="00AD1C87" w:rsidP="00D019C8">
      <w:pPr>
        <w:widowControl/>
        <w:ind w:left="720" w:rightChars="-24" w:right="-58"/>
        <w:jc w:val="right"/>
        <w:rPr>
          <w:rFonts w:ascii="新細明體" w:eastAsia="新細明體" w:hAnsi="新細明體" w:cs="新細明體"/>
          <w:kern w:val="0"/>
          <w:sz w:val="20"/>
          <w:szCs w:val="20"/>
        </w:rPr>
      </w:pPr>
      <w:r w:rsidRPr="00AD1C87">
        <w:rPr>
          <w:rFonts w:ascii="新細明體" w:eastAsia="新細明體" w:hAnsi="新細明體" w:cs="新細明體"/>
          <w:kern w:val="0"/>
          <w:sz w:val="20"/>
          <w:szCs w:val="20"/>
        </w:rPr>
        <w:t>Amended by the 4th Academic Affairs Meeting of the 2025 School Year, December 24, 2025</w:t>
      </w:r>
    </w:p>
    <w:p w14:paraId="6EC7E085" w14:textId="77777777" w:rsidR="00AD1C87" w:rsidRPr="00AD1C87" w:rsidRDefault="008E5B2D" w:rsidP="00AD1C87">
      <w:pPr>
        <w:widowControl/>
        <w:rPr>
          <w:rFonts w:ascii="新細明體" w:eastAsia="新細明體" w:hAnsi="新細明體" w:cs="新細明體"/>
          <w:kern w:val="0"/>
          <w:szCs w:val="24"/>
        </w:rPr>
      </w:pPr>
      <w:r>
        <w:rPr>
          <w:rFonts w:ascii="新細明體" w:eastAsia="新細明體" w:hAnsi="新細明體" w:cs="新細明體"/>
          <w:kern w:val="0"/>
          <w:szCs w:val="24"/>
        </w:rPr>
        <w:pict w14:anchorId="376E1026">
          <v:rect id="_x0000_i1025" style="width:0;height:1.5pt" o:hralign="center" o:hrstd="t" o:hr="t" fillcolor="#a0a0a0" stroked="f"/>
        </w:pict>
      </w:r>
    </w:p>
    <w:p w14:paraId="04FD3319" w14:textId="1D1A9301" w:rsidR="00AD1C87" w:rsidRPr="00AD1C87" w:rsidRDefault="00AD1C87" w:rsidP="00E639F8">
      <w:pPr>
        <w:widowControl/>
        <w:spacing w:before="100" w:beforeAutospacing="1" w:after="100" w:afterAutospacing="1"/>
        <w:ind w:left="850" w:hangingChars="354" w:hanging="850"/>
        <w:rPr>
          <w:rFonts w:ascii="新細明體" w:eastAsia="新細明體" w:hAnsi="新細明體" w:cs="新細明體"/>
          <w:kern w:val="0"/>
          <w:szCs w:val="24"/>
        </w:rPr>
      </w:pPr>
      <w:r w:rsidRPr="00AD1C87">
        <w:rPr>
          <w:rFonts w:ascii="新細明體" w:eastAsia="新細明體" w:hAnsi="新細明體" w:cs="新細明體"/>
          <w:b/>
          <w:bCs/>
          <w:kern w:val="0"/>
          <w:szCs w:val="24"/>
        </w:rPr>
        <w:t>Article 1</w:t>
      </w:r>
      <w:r w:rsidRPr="00AD1C87">
        <w:rPr>
          <w:rFonts w:ascii="新細明體" w:eastAsia="新細明體" w:hAnsi="新細明體" w:cs="新細明體"/>
          <w:kern w:val="0"/>
          <w:szCs w:val="24"/>
        </w:rPr>
        <w:t xml:space="preserve"> Yuan Ze University (hereafter, ‘the University’) hereby formulates these regulations in accordance with Article 7-2 of the “Degree Conferral Act,” Article 13 of the “Yuan Ze University Regulations for Master and Doctoral Degree Qualifying Examination,” and Article 7, Item 2 of the “Yuan Ze University Regulations for Handling Academic Ethics Cases” to deal with students’ (current students and graduates included) violations of academic ethics. </w:t>
      </w:r>
    </w:p>
    <w:p w14:paraId="009E0567" w14:textId="77777777" w:rsidR="00AD1C87" w:rsidRPr="00AD1C87" w:rsidRDefault="00AD1C87" w:rsidP="00AD1C87">
      <w:pPr>
        <w:widowControl/>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b/>
          <w:bCs/>
          <w:kern w:val="0"/>
          <w:szCs w:val="24"/>
        </w:rPr>
        <w:t>Article 2</w:t>
      </w:r>
      <w:r w:rsidRPr="00AD1C87">
        <w:rPr>
          <w:rFonts w:ascii="新細明體" w:eastAsia="新細明體" w:hAnsi="新細明體" w:cs="新細明體"/>
          <w:kern w:val="0"/>
          <w:szCs w:val="24"/>
        </w:rPr>
        <w:t xml:space="preserve"> A violation of academic ethics means any of the following situations: </w:t>
      </w:r>
    </w:p>
    <w:p w14:paraId="4941E030"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b/>
          <w:bCs/>
          <w:kern w:val="0"/>
          <w:szCs w:val="24"/>
        </w:rPr>
        <w:t>Forgery</w:t>
      </w:r>
      <w:r w:rsidRPr="00AD1C87">
        <w:rPr>
          <w:rFonts w:ascii="新細明體" w:eastAsia="新細明體" w:hAnsi="新細明體" w:cs="新細明體"/>
          <w:kern w:val="0"/>
          <w:szCs w:val="24"/>
        </w:rPr>
        <w:t xml:space="preserve">: A student forged nonexistent application information, research data, or research results. </w:t>
      </w:r>
    </w:p>
    <w:p w14:paraId="7F426BE0"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b/>
          <w:bCs/>
          <w:kern w:val="0"/>
          <w:szCs w:val="24"/>
        </w:rPr>
        <w:t>Falsification</w:t>
      </w:r>
      <w:r w:rsidRPr="00AD1C87">
        <w:rPr>
          <w:rFonts w:ascii="新細明體" w:eastAsia="新細明體" w:hAnsi="新細明體" w:cs="新細明體"/>
          <w:kern w:val="0"/>
          <w:szCs w:val="24"/>
        </w:rPr>
        <w:t xml:space="preserve">: A student used false application information, research data, or research results. </w:t>
      </w:r>
    </w:p>
    <w:p w14:paraId="32315EE5"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b/>
          <w:bCs/>
          <w:kern w:val="0"/>
          <w:szCs w:val="24"/>
        </w:rPr>
        <w:t>Plagiarism</w:t>
      </w:r>
      <w:r w:rsidRPr="00AD1C87">
        <w:rPr>
          <w:rFonts w:ascii="新細明體" w:eastAsia="新細明體" w:hAnsi="新細明體" w:cs="新細明體"/>
          <w:kern w:val="0"/>
          <w:szCs w:val="24"/>
        </w:rPr>
        <w:t xml:space="preserve">: A student used other people’s application information, research data, or research results without citing the sources. If a student fails to cite sources properly and the outcome is deemed severe, it will be considered plagiarism. </w:t>
      </w:r>
    </w:p>
    <w:p w14:paraId="2B124E09"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b/>
          <w:bCs/>
          <w:kern w:val="0"/>
          <w:szCs w:val="24"/>
        </w:rPr>
        <w:t>Self-plagiarism</w:t>
      </w:r>
      <w:r w:rsidRPr="00AD1C87">
        <w:rPr>
          <w:rFonts w:ascii="新細明體" w:eastAsia="新細明體" w:hAnsi="新細明體" w:cs="新細明體"/>
          <w:kern w:val="0"/>
          <w:szCs w:val="24"/>
        </w:rPr>
        <w:t xml:space="preserve">: A student failed to appropriately cite his or her own publications in the research project or thesis/dissertation. </w:t>
      </w:r>
    </w:p>
    <w:p w14:paraId="784876BF"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b/>
          <w:bCs/>
          <w:kern w:val="0"/>
          <w:szCs w:val="24"/>
        </w:rPr>
        <w:t>Duplicate publication</w:t>
      </w:r>
      <w:r w:rsidRPr="00AD1C87">
        <w:rPr>
          <w:rFonts w:ascii="新細明體" w:eastAsia="新細明體" w:hAnsi="新細明體" w:cs="新細明體"/>
          <w:kern w:val="0"/>
          <w:szCs w:val="24"/>
        </w:rPr>
        <w:t xml:space="preserve">: A student repeatedly published research results without notation. </w:t>
      </w:r>
    </w:p>
    <w:p w14:paraId="0F008888"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b/>
          <w:bCs/>
          <w:kern w:val="0"/>
          <w:szCs w:val="24"/>
        </w:rPr>
        <w:t>Ghostwriting</w:t>
      </w:r>
      <w:r w:rsidRPr="00AD1C87">
        <w:rPr>
          <w:rFonts w:ascii="新細明體" w:eastAsia="新細明體" w:hAnsi="新細明體" w:cs="新細明體"/>
          <w:kern w:val="0"/>
          <w:szCs w:val="24"/>
        </w:rPr>
        <w:t xml:space="preserve">: Thesis/dissertation, application of a project, or research results were written by someone not involved in the project. </w:t>
      </w:r>
    </w:p>
    <w:p w14:paraId="228288B9"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kern w:val="0"/>
          <w:szCs w:val="24"/>
        </w:rPr>
        <w:t xml:space="preserve">Improperly influence the review of a thesis/dissertation by illegal or improper means. </w:t>
      </w:r>
    </w:p>
    <w:p w14:paraId="04C3E758" w14:textId="77777777" w:rsidR="00AD1C87" w:rsidRPr="00AD1C87" w:rsidRDefault="00AD1C87" w:rsidP="00AD1C87">
      <w:pPr>
        <w:widowControl/>
        <w:numPr>
          <w:ilvl w:val="0"/>
          <w:numId w:val="6"/>
        </w:numPr>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kern w:val="0"/>
          <w:szCs w:val="24"/>
        </w:rPr>
        <w:t xml:space="preserve">Any other matter constitutes a violation of academic ethics. </w:t>
      </w:r>
    </w:p>
    <w:p w14:paraId="6A8ECF0B" w14:textId="77777777" w:rsidR="00AD1C87" w:rsidRPr="00AD1C87" w:rsidRDefault="00AD1C87" w:rsidP="00C8516D">
      <w:pPr>
        <w:widowControl/>
        <w:spacing w:before="100" w:beforeAutospacing="1" w:after="100" w:afterAutospacing="1"/>
        <w:ind w:left="850" w:hangingChars="354" w:hanging="850"/>
        <w:jc w:val="both"/>
        <w:rPr>
          <w:rFonts w:ascii="新細明體" w:eastAsia="新細明體" w:hAnsi="新細明體" w:cs="新細明體"/>
          <w:kern w:val="0"/>
          <w:szCs w:val="24"/>
        </w:rPr>
      </w:pPr>
      <w:r w:rsidRPr="00AD1C87">
        <w:rPr>
          <w:rFonts w:ascii="新細明體" w:eastAsia="新細明體" w:hAnsi="新細明體" w:cs="新細明體"/>
          <w:b/>
          <w:bCs/>
          <w:kern w:val="0"/>
          <w:szCs w:val="24"/>
        </w:rPr>
        <w:lastRenderedPageBreak/>
        <w:t>Article 3</w:t>
      </w:r>
      <w:r w:rsidRPr="00AD1C87">
        <w:rPr>
          <w:rFonts w:ascii="新細明體" w:eastAsia="新細明體" w:hAnsi="新細明體" w:cs="新細明體"/>
          <w:kern w:val="0"/>
          <w:szCs w:val="24"/>
        </w:rPr>
        <w:t xml:space="preserve"> The investigation, review, and determination of whether a student’s thesis involves plagiarism, piracy, forgery, or other unethical behaviors shall be conducted by an investigation team formed by the college involved. </w:t>
      </w:r>
    </w:p>
    <w:p w14:paraId="11CCF3F9" w14:textId="521DEA28" w:rsidR="00F575DB" w:rsidRPr="00E639F8" w:rsidRDefault="00AD1C87" w:rsidP="00C8516D">
      <w:pPr>
        <w:pStyle w:val="Web"/>
        <w:ind w:left="850" w:hangingChars="354" w:hanging="850"/>
        <w:jc w:val="both"/>
      </w:pPr>
      <w:r w:rsidRPr="00AD1C87">
        <w:rPr>
          <w:b/>
          <w:bCs/>
        </w:rPr>
        <w:t>Article 4</w:t>
      </w:r>
      <w:r w:rsidRPr="00AD1C87">
        <w:t xml:space="preserve"> </w:t>
      </w:r>
      <w:r w:rsidR="00F575DB" w:rsidRPr="00E639F8">
        <w:t>Regarding cases of students' violations of academic ethics that have been resolved and established by the Academic Ethics and Integrity Committee (hereinafter referred to as the Academic Ethics Committee), the Office of Academic Affairs shall refer the case to the college to which the person being reported belongs. The college shall form an investigation team within ten working days after receipt of the case to conduct the review and verification.</w:t>
      </w:r>
    </w:p>
    <w:p w14:paraId="7EB85040" w14:textId="4B0D79F2" w:rsidR="00F575DB" w:rsidRPr="00F575DB" w:rsidRDefault="00F575DB" w:rsidP="00C8516D">
      <w:pPr>
        <w:widowControl/>
        <w:spacing w:before="100" w:beforeAutospacing="1" w:after="100" w:afterAutospacing="1"/>
        <w:ind w:leftChars="354" w:left="850" w:firstLine="1"/>
        <w:jc w:val="both"/>
        <w:rPr>
          <w:rFonts w:ascii="新細明體" w:eastAsia="新細明體" w:hAnsi="新細明體" w:cs="新細明體"/>
          <w:kern w:val="0"/>
          <w:szCs w:val="24"/>
        </w:rPr>
      </w:pPr>
      <w:r w:rsidRPr="00F575DB">
        <w:rPr>
          <w:rFonts w:ascii="新細明體" w:eastAsia="新細明體" w:hAnsi="新細明體" w:cs="新細明體"/>
          <w:kern w:val="0"/>
          <w:szCs w:val="24"/>
        </w:rPr>
        <w:t>The investigation team shall complete the investigation and determination within two months from the date of its establishment. The meeting minutes and the investigation report shall be submitted by the Office of Academic Affairs to the Academic Ethics Committee for deliberation; if necessary, the period may be extended by one month. The handling process shall be conducted in a secret manner.</w:t>
      </w:r>
    </w:p>
    <w:p w14:paraId="7FEB9B4F" w14:textId="13D81732" w:rsidR="00F575DB" w:rsidRPr="00F575DB" w:rsidRDefault="00F575DB" w:rsidP="00C8516D">
      <w:pPr>
        <w:widowControl/>
        <w:spacing w:before="100" w:beforeAutospacing="1" w:after="100" w:afterAutospacing="1"/>
        <w:ind w:leftChars="354" w:left="850" w:firstLine="1"/>
        <w:jc w:val="both"/>
        <w:rPr>
          <w:rFonts w:ascii="新細明體" w:eastAsia="新細明體" w:hAnsi="新細明體" w:cs="新細明體"/>
          <w:kern w:val="0"/>
          <w:szCs w:val="24"/>
        </w:rPr>
      </w:pPr>
      <w:r w:rsidRPr="00F575DB">
        <w:rPr>
          <w:rFonts w:ascii="新細明體" w:eastAsia="新細明體" w:hAnsi="新細明體" w:cs="新細明體"/>
          <w:kern w:val="0"/>
          <w:szCs w:val="24"/>
        </w:rPr>
        <w:t>Personnel involved in handling the reported cases shall keep the identities of the informant (including name, contact information, and the reporting process), the person being reported, the reviewers' identities, the review opinions, and other relevant information strictly confidential.</w:t>
      </w:r>
    </w:p>
    <w:p w14:paraId="21A01D82" w14:textId="536B79AB" w:rsidR="00AD1C87" w:rsidRPr="00AD1C87" w:rsidRDefault="00AD1C87" w:rsidP="00C8516D">
      <w:pPr>
        <w:widowControl/>
        <w:spacing w:before="100" w:beforeAutospacing="1" w:after="100" w:afterAutospacing="1"/>
        <w:ind w:left="850" w:hangingChars="354" w:hanging="850"/>
        <w:jc w:val="both"/>
        <w:rPr>
          <w:rFonts w:ascii="新細明體" w:eastAsia="新細明體" w:hAnsi="新細明體" w:cs="新細明體"/>
          <w:kern w:val="0"/>
          <w:szCs w:val="24"/>
        </w:rPr>
      </w:pPr>
      <w:r w:rsidRPr="00AD1C87">
        <w:rPr>
          <w:rFonts w:ascii="新細明體" w:eastAsia="新細明體" w:hAnsi="新細明體" w:cs="新細明體"/>
          <w:b/>
          <w:bCs/>
          <w:kern w:val="0"/>
          <w:szCs w:val="24"/>
        </w:rPr>
        <w:t>Article 5</w:t>
      </w:r>
      <w:r w:rsidRPr="00AD1C87">
        <w:rPr>
          <w:rFonts w:ascii="新細明體" w:eastAsia="新細明體" w:hAnsi="新細明體" w:cs="新細明體"/>
          <w:kern w:val="0"/>
          <w:szCs w:val="24"/>
        </w:rPr>
        <w:t xml:space="preserve"> </w:t>
      </w:r>
      <w:r w:rsidR="00F575DB" w:rsidRPr="00E639F8">
        <w:rPr>
          <w:rFonts w:asciiTheme="majorEastAsia" w:eastAsiaTheme="majorEastAsia" w:hAnsiTheme="majorEastAsia"/>
        </w:rPr>
        <w:t>The investigation team shall be formed by the college with which the person being reported is affiliated, with the College Dean serving as the convener. Members of the team shall be appointed by the college and approved by the President. The investigation team shall consist of five to seven members, including the College Dean, full-time faculty of the college, and impartial scholars or experts from within or outside the University. Scholars or experts outside the University shall not be less than one-fourth of the total members and may include legal experts. If the College Dean is required to recuse, the Academic Dean shall serve as the convener. If both the College Dean and the Academic Dean are required to recuse, the President shall appoint a dean from another college to serve as the convener.</w:t>
      </w:r>
    </w:p>
    <w:p w14:paraId="772FF14A" w14:textId="77777777" w:rsidR="00F575DB" w:rsidRDefault="00AD1C87" w:rsidP="00C8516D">
      <w:pPr>
        <w:pStyle w:val="Web"/>
        <w:ind w:left="850" w:hangingChars="354" w:hanging="850"/>
        <w:jc w:val="both"/>
      </w:pPr>
      <w:r w:rsidRPr="00AD1C87">
        <w:rPr>
          <w:b/>
          <w:bCs/>
        </w:rPr>
        <w:t>Article 6</w:t>
      </w:r>
      <w:r w:rsidRPr="00AD1C87">
        <w:t xml:space="preserve"> </w:t>
      </w:r>
      <w:r w:rsidR="00F575DB">
        <w:t>Members of the investigation team shall recuse themselves if they have any of the following relationships or situations with the person being reported:</w:t>
      </w:r>
    </w:p>
    <w:p w14:paraId="0548A703" w14:textId="77777777" w:rsidR="00F575DB" w:rsidRDefault="00F575DB" w:rsidP="00F575DB">
      <w:pPr>
        <w:pStyle w:val="Web"/>
        <w:numPr>
          <w:ilvl w:val="0"/>
          <w:numId w:val="9"/>
        </w:numPr>
      </w:pPr>
      <w:r>
        <w:t>Being within the third degree of kinship by blood.</w:t>
      </w:r>
    </w:p>
    <w:p w14:paraId="4F3BCCC5" w14:textId="77777777" w:rsidR="00F575DB" w:rsidRDefault="00F575DB" w:rsidP="00F575DB">
      <w:pPr>
        <w:pStyle w:val="Web"/>
        <w:numPr>
          <w:ilvl w:val="0"/>
          <w:numId w:val="9"/>
        </w:numPr>
      </w:pPr>
      <w:r>
        <w:t>Being spouses, or within the third degree of kinship by marriage, or having had such a relationship.</w:t>
      </w:r>
    </w:p>
    <w:p w14:paraId="442B81A0" w14:textId="77777777" w:rsidR="00F575DB" w:rsidRDefault="00F575DB" w:rsidP="00F575DB">
      <w:pPr>
        <w:pStyle w:val="Web"/>
        <w:numPr>
          <w:ilvl w:val="0"/>
          <w:numId w:val="9"/>
        </w:numPr>
      </w:pPr>
      <w:r>
        <w:lastRenderedPageBreak/>
        <w:t>Having a dissertation/thesis advisor-advisee relationship.</w:t>
      </w:r>
    </w:p>
    <w:p w14:paraId="5418ABB8" w14:textId="77777777" w:rsidR="00F575DB" w:rsidRDefault="00F575DB" w:rsidP="00F575DB">
      <w:pPr>
        <w:pStyle w:val="Web"/>
        <w:numPr>
          <w:ilvl w:val="0"/>
          <w:numId w:val="9"/>
        </w:numPr>
      </w:pPr>
      <w:r>
        <w:t>Having an academic collaboration relationship.</w:t>
      </w:r>
    </w:p>
    <w:p w14:paraId="51808E74" w14:textId="77777777" w:rsidR="00F575DB" w:rsidRDefault="00F575DB" w:rsidP="00F575DB">
      <w:pPr>
        <w:pStyle w:val="Web"/>
        <w:numPr>
          <w:ilvl w:val="0"/>
          <w:numId w:val="9"/>
        </w:numPr>
      </w:pPr>
      <w:r>
        <w:t>Being an interested party.</w:t>
      </w:r>
    </w:p>
    <w:p w14:paraId="4BE5E576" w14:textId="77777777" w:rsidR="00F575DB" w:rsidRDefault="00F575DB" w:rsidP="00F575DB">
      <w:pPr>
        <w:pStyle w:val="Web"/>
        <w:numPr>
          <w:ilvl w:val="0"/>
          <w:numId w:val="9"/>
        </w:numPr>
      </w:pPr>
      <w:r>
        <w:t>Situations where recusal is required in accordance with other regulations.</w:t>
      </w:r>
    </w:p>
    <w:p w14:paraId="4DA0BA3B" w14:textId="77777777" w:rsidR="00F575DB" w:rsidRDefault="00F575DB" w:rsidP="00F575DB">
      <w:pPr>
        <w:pStyle w:val="Web"/>
        <w:numPr>
          <w:ilvl w:val="0"/>
          <w:numId w:val="9"/>
        </w:numPr>
      </w:pPr>
      <w:r>
        <w:t>Individuals for recusal as proposed by the person being reported (not more than two).</w:t>
      </w:r>
    </w:p>
    <w:p w14:paraId="1698D574" w14:textId="2A154586" w:rsidR="00AD1C87" w:rsidRPr="00AD1C87" w:rsidRDefault="00AD1C87" w:rsidP="00AD1C87">
      <w:pPr>
        <w:widowControl/>
        <w:spacing w:before="100" w:beforeAutospacing="1" w:after="100" w:afterAutospacing="1"/>
        <w:rPr>
          <w:rFonts w:ascii="新細明體" w:eastAsia="新細明體" w:hAnsi="新細明體" w:cs="新細明體"/>
          <w:kern w:val="0"/>
          <w:szCs w:val="24"/>
        </w:rPr>
      </w:pPr>
      <w:r w:rsidRPr="00AD1C87">
        <w:rPr>
          <w:rFonts w:ascii="新細明體" w:eastAsia="新細明體" w:hAnsi="新細明體" w:cs="新細明體"/>
          <w:kern w:val="0"/>
          <w:szCs w:val="24"/>
        </w:rPr>
        <w:t xml:space="preserve"> </w:t>
      </w:r>
    </w:p>
    <w:p w14:paraId="5653ECB1" w14:textId="21FCC009" w:rsidR="00F575DB" w:rsidRDefault="00AD1C87" w:rsidP="00C8516D">
      <w:pPr>
        <w:widowControl/>
        <w:spacing w:before="100" w:beforeAutospacing="1" w:after="100" w:afterAutospacing="1"/>
        <w:ind w:left="850" w:hangingChars="354" w:hanging="850"/>
        <w:jc w:val="both"/>
        <w:rPr>
          <w:b/>
          <w:bCs/>
        </w:rPr>
      </w:pPr>
      <w:r w:rsidRPr="00AD1C87">
        <w:rPr>
          <w:rFonts w:ascii="新細明體" w:eastAsia="新細明體" w:hAnsi="新細明體" w:cs="新細明體"/>
          <w:b/>
          <w:bCs/>
          <w:kern w:val="0"/>
          <w:szCs w:val="24"/>
        </w:rPr>
        <w:t>Article 7</w:t>
      </w:r>
      <w:r w:rsidRPr="00AD1C87">
        <w:rPr>
          <w:rFonts w:ascii="新細明體" w:eastAsia="新細明體" w:hAnsi="新細明體" w:cs="新細明體"/>
          <w:kern w:val="0"/>
          <w:szCs w:val="24"/>
        </w:rPr>
        <w:t xml:space="preserve"> </w:t>
      </w:r>
      <w:r w:rsidR="00F575DB" w:rsidRPr="00E639F8">
        <w:rPr>
          <w:rFonts w:asciiTheme="minorEastAsia" w:hAnsiTheme="minorEastAsia"/>
        </w:rPr>
        <w:t>The investigation team shall notify the person being reported in writing to provide a written statement or attend a meeting to present their views within a specified deadline. Failure to respond within the deadline shall be deemed a voluntary forfeiture of the right to make a statement. In cases related to degree conferral, the investigation team may invite the advisor of the person being reported to attend the meeting for clarification if necessary.</w:t>
      </w:r>
    </w:p>
    <w:p w14:paraId="5B525F28" w14:textId="75347523" w:rsidR="00F575DB" w:rsidRPr="00E639F8" w:rsidRDefault="00AD1C87" w:rsidP="00C8516D">
      <w:pPr>
        <w:pStyle w:val="Web"/>
        <w:ind w:left="853" w:hangingChars="355" w:hanging="853"/>
        <w:jc w:val="both"/>
      </w:pPr>
      <w:r w:rsidRPr="00AD1C87">
        <w:rPr>
          <w:b/>
          <w:bCs/>
        </w:rPr>
        <w:t>Article 8</w:t>
      </w:r>
      <w:r w:rsidR="00F575DB" w:rsidRPr="00F575DB">
        <w:rPr>
          <w:b/>
          <w:bCs/>
        </w:rPr>
        <w:t xml:space="preserve"> </w:t>
      </w:r>
      <w:r w:rsidR="00F575DB" w:rsidRPr="00E639F8">
        <w:t>A meeting of the investigation team may only be convened if at least two-thirds of the members are present. A resolution may only be passed with the approval of at least two-thirds of the members present.</w:t>
      </w:r>
    </w:p>
    <w:p w14:paraId="02195F45" w14:textId="500869CF" w:rsidR="00F575DB" w:rsidRPr="00F575DB" w:rsidRDefault="00F575DB" w:rsidP="00C8516D">
      <w:pPr>
        <w:widowControl/>
        <w:spacing w:before="100" w:beforeAutospacing="1" w:after="100" w:afterAutospacing="1"/>
        <w:ind w:leftChars="354" w:left="851" w:hanging="1"/>
        <w:jc w:val="both"/>
        <w:rPr>
          <w:rFonts w:ascii="新細明體" w:eastAsia="新細明體" w:hAnsi="新細明體" w:cs="新細明體"/>
          <w:kern w:val="0"/>
          <w:szCs w:val="24"/>
        </w:rPr>
      </w:pPr>
      <w:r w:rsidRPr="00F575DB">
        <w:rPr>
          <w:rFonts w:ascii="新細明體" w:eastAsia="新細明體" w:hAnsi="新細明體" w:cs="新細明體"/>
          <w:kern w:val="0"/>
          <w:szCs w:val="24"/>
        </w:rPr>
        <w:t>Upon completion of the investigation, the investigation team shall issue a concrete resolution on whether a violation of academic ethics has occurred. If the investigation concludes that the person being reported has not violated academic ethics, the Academic Ethics Committee shall inform the informant, the person being reported, or the relevant external agency in writing and, if necessary, report to the competent authority for record-keeping. If the violation is confirmed, the Academic Ethics Committee shall refer the case to the Office of Student Affairs or the Office of Academic Affairs for deliberation and disciplinary action based on the individual's status.</w:t>
      </w:r>
    </w:p>
    <w:p w14:paraId="22689676" w14:textId="42157678" w:rsidR="00F575DB" w:rsidRPr="00F575DB" w:rsidRDefault="00F575DB" w:rsidP="00C8516D">
      <w:pPr>
        <w:widowControl/>
        <w:spacing w:before="100" w:beforeAutospacing="1" w:after="100" w:afterAutospacing="1"/>
        <w:ind w:leftChars="354" w:left="851" w:hanging="1"/>
        <w:jc w:val="both"/>
        <w:rPr>
          <w:rFonts w:ascii="新細明體" w:eastAsia="新細明體" w:hAnsi="新細明體" w:cs="新細明體"/>
          <w:kern w:val="0"/>
          <w:szCs w:val="24"/>
        </w:rPr>
      </w:pPr>
      <w:r w:rsidRPr="00F575DB">
        <w:rPr>
          <w:rFonts w:ascii="新細明體" w:eastAsia="新細明體" w:hAnsi="新細明體" w:cs="新細明體"/>
          <w:kern w:val="0"/>
          <w:szCs w:val="24"/>
        </w:rPr>
        <w:t>If the person being reported objects to the investigation results, they may file a written reapplication (appeal) stating specific facts to the Office of Academic Affairs within thirty days of receiving the notification. Reapplication is limited to once. During the reapplication process, at least two-thirds of the investigation team members must be present, and the approval of at least two-thirds of those present is required to change the original resolution.</w:t>
      </w:r>
    </w:p>
    <w:p w14:paraId="0F597E8C" w14:textId="2160EFC8" w:rsidR="00AD1C87" w:rsidRPr="00AD1C87" w:rsidRDefault="00AD1C87" w:rsidP="00F575DB">
      <w:pPr>
        <w:widowControl/>
        <w:spacing w:before="100" w:beforeAutospacing="1" w:after="100" w:afterAutospacing="1"/>
        <w:rPr>
          <w:rFonts w:ascii="新細明體" w:eastAsia="新細明體" w:hAnsi="新細明體" w:cs="新細明體"/>
          <w:kern w:val="0"/>
          <w:szCs w:val="24"/>
        </w:rPr>
      </w:pPr>
    </w:p>
    <w:p w14:paraId="77587C20" w14:textId="69837283" w:rsidR="00AD1C87" w:rsidRPr="00AD1C87" w:rsidRDefault="00AD1C87" w:rsidP="00C8516D">
      <w:pPr>
        <w:widowControl/>
        <w:spacing w:before="100" w:beforeAutospacing="1" w:after="100" w:afterAutospacing="1"/>
        <w:ind w:left="850" w:hangingChars="354" w:hanging="850"/>
        <w:jc w:val="both"/>
        <w:rPr>
          <w:rFonts w:asciiTheme="minorEastAsia" w:hAnsiTheme="minorEastAsia" w:cs="新細明體"/>
          <w:kern w:val="0"/>
          <w:szCs w:val="24"/>
        </w:rPr>
      </w:pPr>
      <w:r w:rsidRPr="00AD1C87">
        <w:rPr>
          <w:rFonts w:asciiTheme="minorEastAsia" w:hAnsiTheme="minorEastAsia" w:cs="新細明體"/>
          <w:b/>
          <w:bCs/>
          <w:kern w:val="0"/>
          <w:szCs w:val="24"/>
        </w:rPr>
        <w:lastRenderedPageBreak/>
        <w:t>Article 9</w:t>
      </w:r>
      <w:r w:rsidR="00E639F8" w:rsidRPr="00E639F8">
        <w:rPr>
          <w:rFonts w:asciiTheme="minorEastAsia" w:hAnsiTheme="minorEastAsia" w:cs="新細明體"/>
          <w:b/>
          <w:bCs/>
          <w:kern w:val="0"/>
          <w:szCs w:val="24"/>
        </w:rPr>
        <w:t xml:space="preserve"> </w:t>
      </w:r>
      <w:r w:rsidR="00607B89" w:rsidRPr="00E639F8">
        <w:rPr>
          <w:rFonts w:asciiTheme="minorEastAsia" w:hAnsiTheme="minorEastAsia"/>
        </w:rPr>
        <w:t>The University shall complete the handling of reported cases within four months. However, in cases where the situation is complex, difficult to implement, or during winter and summer vacations, the handling period may be extended by two months, and the Academic Ethics Committee shall notify the informant, the person being reported, or the relevant external agency in writing.</w:t>
      </w:r>
    </w:p>
    <w:p w14:paraId="4EBFF7C0" w14:textId="77777777" w:rsidR="00607B89" w:rsidRDefault="00AD1C87" w:rsidP="00607B89">
      <w:pPr>
        <w:pStyle w:val="Web"/>
      </w:pPr>
      <w:r w:rsidRPr="00AD1C87">
        <w:rPr>
          <w:b/>
          <w:bCs/>
        </w:rPr>
        <w:t>Article 10</w:t>
      </w:r>
      <w:r w:rsidRPr="00AD1C87">
        <w:t xml:space="preserve"> </w:t>
      </w:r>
      <w:r w:rsidR="00607B89">
        <w:t>Punishment and Guidance:</w:t>
      </w:r>
    </w:p>
    <w:p w14:paraId="3590612F" w14:textId="77777777" w:rsidR="00607B89" w:rsidRDefault="00607B89" w:rsidP="00C8516D">
      <w:pPr>
        <w:pStyle w:val="Web"/>
        <w:numPr>
          <w:ilvl w:val="0"/>
          <w:numId w:val="10"/>
        </w:numPr>
        <w:jc w:val="both"/>
      </w:pPr>
      <w:r>
        <w:t>If enrolled students are determined to have violated Article 2, the department shall submit the case to the Office of Student Affairs for disciplinary action in accordance with student regulations.</w:t>
      </w:r>
    </w:p>
    <w:p w14:paraId="7EED1925" w14:textId="7EBF5181" w:rsidR="00607B89" w:rsidRPr="00E639F8" w:rsidRDefault="00607B89" w:rsidP="00C8516D">
      <w:pPr>
        <w:pStyle w:val="Web"/>
        <w:numPr>
          <w:ilvl w:val="0"/>
          <w:numId w:val="10"/>
        </w:numPr>
        <w:jc w:val="both"/>
      </w:pPr>
      <w:r>
        <w:t xml:space="preserve">If graduates are determined to have violated Article 2 and the violation is severe, their degree shall be revoked, and the diploma shall be announced as invalidated. The National Central Library and the University Library shall be requested to remove the violator's thesis. </w:t>
      </w:r>
      <w:r w:rsidRPr="00E639F8">
        <w:t>If the violation does not warrant degree revocation, the investigation team may require the person being reported to supplement or correct the thesis data within a specified period and apply for a thesis replacement. Their advisor may be referred to the relevant meeting for deliberation.</w:t>
      </w:r>
    </w:p>
    <w:p w14:paraId="104C6283" w14:textId="77777777" w:rsidR="00607B89" w:rsidRPr="00E639F8" w:rsidRDefault="00607B89" w:rsidP="00C8516D">
      <w:pPr>
        <w:pStyle w:val="Web"/>
        <w:numPr>
          <w:ilvl w:val="0"/>
          <w:numId w:val="10"/>
        </w:numPr>
        <w:jc w:val="both"/>
      </w:pPr>
      <w:r w:rsidRPr="00E639F8">
        <w:t>Enrolled students determined to have violated Article 2 shall, from the date of the resolution, complete at least twenty units of academic research ethics courses on the AREE platform and obtain a certificate before they can apply for graduation. This certificate cannot be used to apply for degree examinations.</w:t>
      </w:r>
    </w:p>
    <w:p w14:paraId="28469F4D" w14:textId="116D5FDF" w:rsidR="00AD1C87" w:rsidRPr="00AD1C87" w:rsidRDefault="00AD1C87" w:rsidP="00C8516D">
      <w:pPr>
        <w:pStyle w:val="Web"/>
        <w:ind w:left="993" w:hanging="993"/>
        <w:jc w:val="both"/>
      </w:pPr>
      <w:r w:rsidRPr="00AD1C87">
        <w:rPr>
          <w:b/>
          <w:bCs/>
        </w:rPr>
        <w:t>Article 11</w:t>
      </w:r>
      <w:r w:rsidR="00502B78" w:rsidRPr="00607B89">
        <w:rPr>
          <w:b/>
          <w:bCs/>
        </w:rPr>
        <w:t xml:space="preserve"> </w:t>
      </w:r>
      <w:r w:rsidR="00607B89">
        <w:t>If a case is determined not to be established, the informant may only report again if there is specific new evidence. When new evidence is confirmed, the case may be handled by the original investigation team.</w:t>
      </w:r>
      <w:r w:rsidRPr="00AD1C87">
        <w:t xml:space="preserve"> </w:t>
      </w:r>
    </w:p>
    <w:p w14:paraId="385A0372" w14:textId="77777777" w:rsidR="00AD1C87" w:rsidRPr="00AD1C87" w:rsidRDefault="00AD1C87" w:rsidP="00C8516D">
      <w:pPr>
        <w:widowControl/>
        <w:spacing w:before="100" w:beforeAutospacing="1" w:after="100" w:afterAutospacing="1"/>
        <w:ind w:left="992" w:hangingChars="413" w:hanging="992"/>
        <w:jc w:val="both"/>
        <w:rPr>
          <w:rFonts w:ascii="新細明體" w:eastAsia="新細明體" w:hAnsi="新細明體" w:cs="新細明體"/>
          <w:kern w:val="0"/>
          <w:szCs w:val="24"/>
        </w:rPr>
      </w:pPr>
      <w:r w:rsidRPr="00AD1C87">
        <w:rPr>
          <w:rFonts w:ascii="新細明體" w:eastAsia="新細明體" w:hAnsi="新細明體" w:cs="新細明體"/>
          <w:b/>
          <w:bCs/>
          <w:kern w:val="0"/>
          <w:szCs w:val="24"/>
        </w:rPr>
        <w:t>Article 12</w:t>
      </w:r>
      <w:r w:rsidRPr="00AD1C87">
        <w:rPr>
          <w:rFonts w:ascii="新細明體" w:eastAsia="新細明體" w:hAnsi="新細明體" w:cs="新細明體"/>
          <w:kern w:val="0"/>
          <w:szCs w:val="24"/>
        </w:rPr>
        <w:t xml:space="preserve"> Matters not specified herein shall be governed by the regulations of the Ministry of Education and the University. </w:t>
      </w:r>
    </w:p>
    <w:p w14:paraId="70430846" w14:textId="77777777" w:rsidR="00AD1C87" w:rsidRPr="00AD1C87" w:rsidRDefault="00AD1C87" w:rsidP="00C8516D">
      <w:pPr>
        <w:widowControl/>
        <w:spacing w:before="100" w:beforeAutospacing="1" w:after="100" w:afterAutospacing="1"/>
        <w:ind w:leftChars="1" w:left="992" w:hangingChars="412" w:hanging="990"/>
        <w:jc w:val="both"/>
        <w:rPr>
          <w:rFonts w:ascii="新細明體" w:eastAsia="新細明體" w:hAnsi="新細明體" w:cs="新細明體"/>
          <w:kern w:val="0"/>
          <w:szCs w:val="24"/>
        </w:rPr>
      </w:pPr>
      <w:r w:rsidRPr="00AD1C87">
        <w:rPr>
          <w:rFonts w:ascii="新細明體" w:eastAsia="新細明體" w:hAnsi="新細明體" w:cs="新細明體"/>
          <w:b/>
          <w:bCs/>
          <w:kern w:val="0"/>
          <w:szCs w:val="24"/>
        </w:rPr>
        <w:t>Article 13</w:t>
      </w:r>
      <w:r w:rsidRPr="00AD1C87">
        <w:rPr>
          <w:rFonts w:ascii="新細明體" w:eastAsia="新細明體" w:hAnsi="新細明體" w:cs="新細明體"/>
          <w:kern w:val="0"/>
          <w:szCs w:val="24"/>
        </w:rPr>
        <w:t xml:space="preserve"> These regulations shall be implemented after approval by the Academic Affairs Meeting; the same applies to any amendments. </w:t>
      </w:r>
    </w:p>
    <w:p w14:paraId="09FF1533" w14:textId="77777777" w:rsidR="002971A4" w:rsidRPr="00AD1C87" w:rsidRDefault="002971A4">
      <w:pPr>
        <w:rPr>
          <w:b/>
          <w:bCs/>
        </w:rPr>
      </w:pPr>
    </w:p>
    <w:sectPr w:rsidR="002971A4" w:rsidRPr="00AD1C8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F3E96" w14:textId="77777777" w:rsidR="008E5B2D" w:rsidRDefault="008E5B2D" w:rsidP="00C8516D">
      <w:r>
        <w:separator/>
      </w:r>
    </w:p>
  </w:endnote>
  <w:endnote w:type="continuationSeparator" w:id="0">
    <w:p w14:paraId="15A32A4F" w14:textId="77777777" w:rsidR="008E5B2D" w:rsidRDefault="008E5B2D" w:rsidP="00C8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8A3F" w14:textId="77777777" w:rsidR="008E5B2D" w:rsidRDefault="008E5B2D" w:rsidP="00C8516D">
      <w:r>
        <w:separator/>
      </w:r>
    </w:p>
  </w:footnote>
  <w:footnote w:type="continuationSeparator" w:id="0">
    <w:p w14:paraId="59005E20" w14:textId="77777777" w:rsidR="008E5B2D" w:rsidRDefault="008E5B2D" w:rsidP="00C85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769"/>
    <w:multiLevelType w:val="multilevel"/>
    <w:tmpl w:val="A2342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8251D"/>
    <w:multiLevelType w:val="multilevel"/>
    <w:tmpl w:val="A2342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1AFB"/>
    <w:multiLevelType w:val="multilevel"/>
    <w:tmpl w:val="AB30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B40AA"/>
    <w:multiLevelType w:val="multilevel"/>
    <w:tmpl w:val="A2342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A0E0E"/>
    <w:multiLevelType w:val="multilevel"/>
    <w:tmpl w:val="D3C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40B79"/>
    <w:multiLevelType w:val="multilevel"/>
    <w:tmpl w:val="9D0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620ED"/>
    <w:multiLevelType w:val="multilevel"/>
    <w:tmpl w:val="DE3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44FC1"/>
    <w:multiLevelType w:val="multilevel"/>
    <w:tmpl w:val="A84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83DE9"/>
    <w:multiLevelType w:val="multilevel"/>
    <w:tmpl w:val="B4D4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63483"/>
    <w:multiLevelType w:val="multilevel"/>
    <w:tmpl w:val="8F9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5"/>
  </w:num>
  <w:num w:numId="5">
    <w:abstractNumId w:val="4"/>
  </w:num>
  <w:num w:numId="6">
    <w:abstractNumId w:val="0"/>
  </w:num>
  <w:num w:numId="7">
    <w:abstractNumId w:val="7"/>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87"/>
    <w:rsid w:val="002971A4"/>
    <w:rsid w:val="003E40E4"/>
    <w:rsid w:val="00502B78"/>
    <w:rsid w:val="005302EF"/>
    <w:rsid w:val="00607B89"/>
    <w:rsid w:val="008E5B2D"/>
    <w:rsid w:val="00AA7AEB"/>
    <w:rsid w:val="00AD1C87"/>
    <w:rsid w:val="00B6163F"/>
    <w:rsid w:val="00C8516D"/>
    <w:rsid w:val="00D019C8"/>
    <w:rsid w:val="00E639F8"/>
    <w:rsid w:val="00F575DB"/>
    <w:rsid w:val="00F85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4DFF"/>
  <w15:chartTrackingRefBased/>
  <w15:docId w15:val="{5E0F4EB4-889B-44CD-80FB-26FAEC75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AD1C87"/>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AD1C87"/>
    <w:rPr>
      <w:rFonts w:ascii="新細明體" w:eastAsia="新細明體" w:hAnsi="新細明體" w:cs="新細明體"/>
      <w:b/>
      <w:bCs/>
      <w:kern w:val="0"/>
      <w:sz w:val="36"/>
      <w:szCs w:val="36"/>
    </w:rPr>
  </w:style>
  <w:style w:type="paragraph" w:styleId="Web">
    <w:name w:val="Normal (Web)"/>
    <w:basedOn w:val="a"/>
    <w:uiPriority w:val="99"/>
    <w:unhideWhenUsed/>
    <w:rsid w:val="00AD1C87"/>
    <w:pPr>
      <w:widowControl/>
      <w:spacing w:before="100" w:beforeAutospacing="1" w:after="100" w:afterAutospacing="1"/>
    </w:pPr>
    <w:rPr>
      <w:rFonts w:ascii="新細明體" w:eastAsia="新細明體" w:hAnsi="新細明體" w:cs="新細明體"/>
      <w:kern w:val="0"/>
      <w:szCs w:val="24"/>
    </w:rPr>
  </w:style>
  <w:style w:type="character" w:customStyle="1" w:styleId="citation-293">
    <w:name w:val="citation-293"/>
    <w:basedOn w:val="a0"/>
    <w:rsid w:val="00AD1C87"/>
  </w:style>
  <w:style w:type="character" w:customStyle="1" w:styleId="citation-292">
    <w:name w:val="citation-292"/>
    <w:basedOn w:val="a0"/>
    <w:rsid w:val="00AD1C87"/>
  </w:style>
  <w:style w:type="character" w:customStyle="1" w:styleId="citation-291">
    <w:name w:val="citation-291"/>
    <w:basedOn w:val="a0"/>
    <w:rsid w:val="00AD1C87"/>
  </w:style>
  <w:style w:type="character" w:customStyle="1" w:styleId="citation-290">
    <w:name w:val="citation-290"/>
    <w:basedOn w:val="a0"/>
    <w:rsid w:val="00AD1C87"/>
  </w:style>
  <w:style w:type="character" w:customStyle="1" w:styleId="citation-289">
    <w:name w:val="citation-289"/>
    <w:basedOn w:val="a0"/>
    <w:rsid w:val="00AD1C87"/>
  </w:style>
  <w:style w:type="character" w:customStyle="1" w:styleId="citation-288">
    <w:name w:val="citation-288"/>
    <w:basedOn w:val="a0"/>
    <w:rsid w:val="00AD1C87"/>
  </w:style>
  <w:style w:type="character" w:customStyle="1" w:styleId="citation-287">
    <w:name w:val="citation-287"/>
    <w:basedOn w:val="a0"/>
    <w:rsid w:val="00AD1C87"/>
  </w:style>
  <w:style w:type="character" w:customStyle="1" w:styleId="citation-286">
    <w:name w:val="citation-286"/>
    <w:basedOn w:val="a0"/>
    <w:rsid w:val="00AD1C87"/>
  </w:style>
  <w:style w:type="character" w:customStyle="1" w:styleId="citation-285">
    <w:name w:val="citation-285"/>
    <w:basedOn w:val="a0"/>
    <w:rsid w:val="00AD1C87"/>
  </w:style>
  <w:style w:type="character" w:customStyle="1" w:styleId="citation-284">
    <w:name w:val="citation-284"/>
    <w:basedOn w:val="a0"/>
    <w:rsid w:val="00AD1C87"/>
  </w:style>
  <w:style w:type="character" w:customStyle="1" w:styleId="citation-283">
    <w:name w:val="citation-283"/>
    <w:basedOn w:val="a0"/>
    <w:rsid w:val="00AD1C87"/>
  </w:style>
  <w:style w:type="character" w:customStyle="1" w:styleId="citation-282">
    <w:name w:val="citation-282"/>
    <w:basedOn w:val="a0"/>
    <w:rsid w:val="00AD1C87"/>
  </w:style>
  <w:style w:type="character" w:customStyle="1" w:styleId="citation-281">
    <w:name w:val="citation-281"/>
    <w:basedOn w:val="a0"/>
    <w:rsid w:val="00AD1C87"/>
  </w:style>
  <w:style w:type="character" w:customStyle="1" w:styleId="citation-280">
    <w:name w:val="citation-280"/>
    <w:basedOn w:val="a0"/>
    <w:rsid w:val="00AD1C87"/>
  </w:style>
  <w:style w:type="character" w:customStyle="1" w:styleId="citation-279">
    <w:name w:val="citation-279"/>
    <w:basedOn w:val="a0"/>
    <w:rsid w:val="00AD1C87"/>
  </w:style>
  <w:style w:type="character" w:customStyle="1" w:styleId="citation-278">
    <w:name w:val="citation-278"/>
    <w:basedOn w:val="a0"/>
    <w:rsid w:val="00AD1C87"/>
  </w:style>
  <w:style w:type="character" w:customStyle="1" w:styleId="citation-277">
    <w:name w:val="citation-277"/>
    <w:basedOn w:val="a0"/>
    <w:rsid w:val="00AD1C87"/>
  </w:style>
  <w:style w:type="character" w:customStyle="1" w:styleId="citation-276">
    <w:name w:val="citation-276"/>
    <w:basedOn w:val="a0"/>
    <w:rsid w:val="00AD1C87"/>
  </w:style>
  <w:style w:type="character" w:customStyle="1" w:styleId="citation-275">
    <w:name w:val="citation-275"/>
    <w:basedOn w:val="a0"/>
    <w:rsid w:val="00AD1C87"/>
  </w:style>
  <w:style w:type="character" w:customStyle="1" w:styleId="citation-274">
    <w:name w:val="citation-274"/>
    <w:basedOn w:val="a0"/>
    <w:rsid w:val="00AD1C87"/>
  </w:style>
  <w:style w:type="character" w:customStyle="1" w:styleId="citation-273">
    <w:name w:val="citation-273"/>
    <w:basedOn w:val="a0"/>
    <w:rsid w:val="00AD1C87"/>
  </w:style>
  <w:style w:type="character" w:customStyle="1" w:styleId="citation-272">
    <w:name w:val="citation-272"/>
    <w:basedOn w:val="a0"/>
    <w:rsid w:val="00AD1C87"/>
  </w:style>
  <w:style w:type="character" w:customStyle="1" w:styleId="citation-271">
    <w:name w:val="citation-271"/>
    <w:basedOn w:val="a0"/>
    <w:rsid w:val="00AD1C87"/>
  </w:style>
  <w:style w:type="character" w:customStyle="1" w:styleId="citation-270">
    <w:name w:val="citation-270"/>
    <w:basedOn w:val="a0"/>
    <w:rsid w:val="00AD1C87"/>
  </w:style>
  <w:style w:type="character" w:customStyle="1" w:styleId="citation-269">
    <w:name w:val="citation-269"/>
    <w:basedOn w:val="a0"/>
    <w:rsid w:val="00AD1C87"/>
  </w:style>
  <w:style w:type="character" w:customStyle="1" w:styleId="citation-268">
    <w:name w:val="citation-268"/>
    <w:basedOn w:val="a0"/>
    <w:rsid w:val="00AD1C87"/>
  </w:style>
  <w:style w:type="character" w:customStyle="1" w:styleId="citation-267">
    <w:name w:val="citation-267"/>
    <w:basedOn w:val="a0"/>
    <w:rsid w:val="00AD1C87"/>
  </w:style>
  <w:style w:type="character" w:customStyle="1" w:styleId="citation-266">
    <w:name w:val="citation-266"/>
    <w:basedOn w:val="a0"/>
    <w:rsid w:val="00AD1C87"/>
  </w:style>
  <w:style w:type="character" w:customStyle="1" w:styleId="citation-265">
    <w:name w:val="citation-265"/>
    <w:basedOn w:val="a0"/>
    <w:rsid w:val="00AD1C87"/>
  </w:style>
  <w:style w:type="character" w:customStyle="1" w:styleId="citation-264">
    <w:name w:val="citation-264"/>
    <w:basedOn w:val="a0"/>
    <w:rsid w:val="00AD1C87"/>
  </w:style>
  <w:style w:type="character" w:customStyle="1" w:styleId="citation-263">
    <w:name w:val="citation-263"/>
    <w:basedOn w:val="a0"/>
    <w:rsid w:val="00AD1C87"/>
  </w:style>
  <w:style w:type="character" w:customStyle="1" w:styleId="citation-262">
    <w:name w:val="citation-262"/>
    <w:basedOn w:val="a0"/>
    <w:rsid w:val="00AD1C87"/>
  </w:style>
  <w:style w:type="character" w:customStyle="1" w:styleId="citation-261">
    <w:name w:val="citation-261"/>
    <w:basedOn w:val="a0"/>
    <w:rsid w:val="00AD1C87"/>
  </w:style>
  <w:style w:type="character" w:customStyle="1" w:styleId="citation-260">
    <w:name w:val="citation-260"/>
    <w:basedOn w:val="a0"/>
    <w:rsid w:val="00AD1C87"/>
  </w:style>
  <w:style w:type="character" w:customStyle="1" w:styleId="citation-259">
    <w:name w:val="citation-259"/>
    <w:basedOn w:val="a0"/>
    <w:rsid w:val="00AD1C87"/>
  </w:style>
  <w:style w:type="character" w:customStyle="1" w:styleId="citation-258">
    <w:name w:val="citation-258"/>
    <w:basedOn w:val="a0"/>
    <w:rsid w:val="00AD1C87"/>
  </w:style>
  <w:style w:type="character" w:customStyle="1" w:styleId="citation-257">
    <w:name w:val="citation-257"/>
    <w:basedOn w:val="a0"/>
    <w:rsid w:val="00AD1C87"/>
  </w:style>
  <w:style w:type="character" w:customStyle="1" w:styleId="citation-256">
    <w:name w:val="citation-256"/>
    <w:basedOn w:val="a0"/>
    <w:rsid w:val="00AD1C87"/>
  </w:style>
  <w:style w:type="character" w:customStyle="1" w:styleId="citation-255">
    <w:name w:val="citation-255"/>
    <w:basedOn w:val="a0"/>
    <w:rsid w:val="00AD1C87"/>
  </w:style>
  <w:style w:type="character" w:customStyle="1" w:styleId="citation-254">
    <w:name w:val="citation-254"/>
    <w:basedOn w:val="a0"/>
    <w:rsid w:val="00AD1C87"/>
  </w:style>
  <w:style w:type="character" w:customStyle="1" w:styleId="citation-253">
    <w:name w:val="citation-253"/>
    <w:basedOn w:val="a0"/>
    <w:rsid w:val="00AD1C87"/>
  </w:style>
  <w:style w:type="character" w:customStyle="1" w:styleId="citation-252">
    <w:name w:val="citation-252"/>
    <w:basedOn w:val="a0"/>
    <w:rsid w:val="00AD1C87"/>
  </w:style>
  <w:style w:type="character" w:customStyle="1" w:styleId="citation-251">
    <w:name w:val="citation-251"/>
    <w:basedOn w:val="a0"/>
    <w:rsid w:val="00AD1C87"/>
  </w:style>
  <w:style w:type="character" w:customStyle="1" w:styleId="citation-250">
    <w:name w:val="citation-250"/>
    <w:basedOn w:val="a0"/>
    <w:rsid w:val="00AD1C87"/>
  </w:style>
  <w:style w:type="character" w:customStyle="1" w:styleId="citation-249">
    <w:name w:val="citation-249"/>
    <w:basedOn w:val="a0"/>
    <w:rsid w:val="00AD1C87"/>
  </w:style>
  <w:style w:type="character" w:customStyle="1" w:styleId="citation-248">
    <w:name w:val="citation-248"/>
    <w:basedOn w:val="a0"/>
    <w:rsid w:val="00AD1C87"/>
  </w:style>
  <w:style w:type="character" w:customStyle="1" w:styleId="citation-515">
    <w:name w:val="citation-515"/>
    <w:basedOn w:val="a0"/>
    <w:rsid w:val="00AD1C87"/>
  </w:style>
  <w:style w:type="character" w:customStyle="1" w:styleId="citation-514">
    <w:name w:val="citation-514"/>
    <w:basedOn w:val="a0"/>
    <w:rsid w:val="00AD1C87"/>
  </w:style>
  <w:style w:type="character" w:customStyle="1" w:styleId="citation-513">
    <w:name w:val="citation-513"/>
    <w:basedOn w:val="a0"/>
    <w:rsid w:val="00AD1C87"/>
  </w:style>
  <w:style w:type="character" w:customStyle="1" w:styleId="citation-512">
    <w:name w:val="citation-512"/>
    <w:basedOn w:val="a0"/>
    <w:rsid w:val="00AD1C87"/>
  </w:style>
  <w:style w:type="character" w:customStyle="1" w:styleId="citation-511">
    <w:name w:val="citation-511"/>
    <w:basedOn w:val="a0"/>
    <w:rsid w:val="00AD1C87"/>
  </w:style>
  <w:style w:type="character" w:customStyle="1" w:styleId="citation-510">
    <w:name w:val="citation-510"/>
    <w:basedOn w:val="a0"/>
    <w:rsid w:val="00AD1C87"/>
  </w:style>
  <w:style w:type="character" w:customStyle="1" w:styleId="citation-509">
    <w:name w:val="citation-509"/>
    <w:basedOn w:val="a0"/>
    <w:rsid w:val="00AD1C87"/>
  </w:style>
  <w:style w:type="character" w:customStyle="1" w:styleId="citation-508">
    <w:name w:val="citation-508"/>
    <w:basedOn w:val="a0"/>
    <w:rsid w:val="00AD1C87"/>
  </w:style>
  <w:style w:type="character" w:customStyle="1" w:styleId="citation-507">
    <w:name w:val="citation-507"/>
    <w:basedOn w:val="a0"/>
    <w:rsid w:val="00AD1C87"/>
  </w:style>
  <w:style w:type="character" w:customStyle="1" w:styleId="citation-506">
    <w:name w:val="citation-506"/>
    <w:basedOn w:val="a0"/>
    <w:rsid w:val="00AD1C87"/>
  </w:style>
  <w:style w:type="character" w:customStyle="1" w:styleId="citation-505">
    <w:name w:val="citation-505"/>
    <w:basedOn w:val="a0"/>
    <w:rsid w:val="00AD1C87"/>
  </w:style>
  <w:style w:type="character" w:customStyle="1" w:styleId="citation-504">
    <w:name w:val="citation-504"/>
    <w:basedOn w:val="a0"/>
    <w:rsid w:val="00AD1C87"/>
  </w:style>
  <w:style w:type="character" w:customStyle="1" w:styleId="citation-503">
    <w:name w:val="citation-503"/>
    <w:basedOn w:val="a0"/>
    <w:rsid w:val="00AD1C87"/>
  </w:style>
  <w:style w:type="character" w:customStyle="1" w:styleId="citation-502">
    <w:name w:val="citation-502"/>
    <w:basedOn w:val="a0"/>
    <w:rsid w:val="00AD1C87"/>
  </w:style>
  <w:style w:type="character" w:customStyle="1" w:styleId="citation-501">
    <w:name w:val="citation-501"/>
    <w:basedOn w:val="a0"/>
    <w:rsid w:val="00AD1C87"/>
  </w:style>
  <w:style w:type="character" w:customStyle="1" w:styleId="citation-500">
    <w:name w:val="citation-500"/>
    <w:basedOn w:val="a0"/>
    <w:rsid w:val="00AD1C87"/>
  </w:style>
  <w:style w:type="character" w:customStyle="1" w:styleId="citation-499">
    <w:name w:val="citation-499"/>
    <w:basedOn w:val="a0"/>
    <w:rsid w:val="00AD1C87"/>
  </w:style>
  <w:style w:type="character" w:customStyle="1" w:styleId="citation-498">
    <w:name w:val="citation-498"/>
    <w:basedOn w:val="a0"/>
    <w:rsid w:val="00AD1C87"/>
  </w:style>
  <w:style w:type="character" w:customStyle="1" w:styleId="citation-497">
    <w:name w:val="citation-497"/>
    <w:basedOn w:val="a0"/>
    <w:rsid w:val="00AD1C87"/>
  </w:style>
  <w:style w:type="character" w:customStyle="1" w:styleId="citation-496">
    <w:name w:val="citation-496"/>
    <w:basedOn w:val="a0"/>
    <w:rsid w:val="00AD1C87"/>
  </w:style>
  <w:style w:type="character" w:customStyle="1" w:styleId="citation-495">
    <w:name w:val="citation-495"/>
    <w:basedOn w:val="a0"/>
    <w:rsid w:val="00AD1C87"/>
  </w:style>
  <w:style w:type="character" w:customStyle="1" w:styleId="citation-494">
    <w:name w:val="citation-494"/>
    <w:basedOn w:val="a0"/>
    <w:rsid w:val="00AD1C87"/>
  </w:style>
  <w:style w:type="character" w:customStyle="1" w:styleId="citation-493">
    <w:name w:val="citation-493"/>
    <w:basedOn w:val="a0"/>
    <w:rsid w:val="00AD1C87"/>
  </w:style>
  <w:style w:type="character" w:customStyle="1" w:styleId="citation-492">
    <w:name w:val="citation-492"/>
    <w:basedOn w:val="a0"/>
    <w:rsid w:val="00AD1C87"/>
  </w:style>
  <w:style w:type="character" w:customStyle="1" w:styleId="citation-491">
    <w:name w:val="citation-491"/>
    <w:basedOn w:val="a0"/>
    <w:rsid w:val="00AD1C87"/>
  </w:style>
  <w:style w:type="character" w:customStyle="1" w:styleId="citation-490">
    <w:name w:val="citation-490"/>
    <w:basedOn w:val="a0"/>
    <w:rsid w:val="00AD1C87"/>
  </w:style>
  <w:style w:type="character" w:customStyle="1" w:styleId="citation-489">
    <w:name w:val="citation-489"/>
    <w:basedOn w:val="a0"/>
    <w:rsid w:val="00AD1C87"/>
  </w:style>
  <w:style w:type="character" w:customStyle="1" w:styleId="citation-488">
    <w:name w:val="citation-488"/>
    <w:basedOn w:val="a0"/>
    <w:rsid w:val="00AD1C87"/>
  </w:style>
  <w:style w:type="character" w:customStyle="1" w:styleId="citation-487">
    <w:name w:val="citation-487"/>
    <w:basedOn w:val="a0"/>
    <w:rsid w:val="00AD1C87"/>
  </w:style>
  <w:style w:type="character" w:customStyle="1" w:styleId="citation-486">
    <w:name w:val="citation-486"/>
    <w:basedOn w:val="a0"/>
    <w:rsid w:val="00AD1C87"/>
  </w:style>
  <w:style w:type="character" w:customStyle="1" w:styleId="citation-485">
    <w:name w:val="citation-485"/>
    <w:basedOn w:val="a0"/>
    <w:rsid w:val="00AD1C87"/>
  </w:style>
  <w:style w:type="character" w:customStyle="1" w:styleId="citation-484">
    <w:name w:val="citation-484"/>
    <w:basedOn w:val="a0"/>
    <w:rsid w:val="00AD1C87"/>
  </w:style>
  <w:style w:type="character" w:customStyle="1" w:styleId="citation-483">
    <w:name w:val="citation-483"/>
    <w:basedOn w:val="a0"/>
    <w:rsid w:val="00AD1C87"/>
  </w:style>
  <w:style w:type="character" w:customStyle="1" w:styleId="citation-482">
    <w:name w:val="citation-482"/>
    <w:basedOn w:val="a0"/>
    <w:rsid w:val="00AD1C87"/>
  </w:style>
  <w:style w:type="character" w:customStyle="1" w:styleId="citation-481">
    <w:name w:val="citation-481"/>
    <w:basedOn w:val="a0"/>
    <w:rsid w:val="00AD1C87"/>
  </w:style>
  <w:style w:type="character" w:customStyle="1" w:styleId="citation-480">
    <w:name w:val="citation-480"/>
    <w:basedOn w:val="a0"/>
    <w:rsid w:val="00AD1C87"/>
  </w:style>
  <w:style w:type="character" w:customStyle="1" w:styleId="citation-479">
    <w:name w:val="citation-479"/>
    <w:basedOn w:val="a0"/>
    <w:rsid w:val="00AD1C87"/>
  </w:style>
  <w:style w:type="character" w:customStyle="1" w:styleId="citation-478">
    <w:name w:val="citation-478"/>
    <w:basedOn w:val="a0"/>
    <w:rsid w:val="00AD1C87"/>
  </w:style>
  <w:style w:type="character" w:customStyle="1" w:styleId="citation-477">
    <w:name w:val="citation-477"/>
    <w:basedOn w:val="a0"/>
    <w:rsid w:val="00AD1C87"/>
  </w:style>
  <w:style w:type="character" w:customStyle="1" w:styleId="citation-476">
    <w:name w:val="citation-476"/>
    <w:basedOn w:val="a0"/>
    <w:rsid w:val="00AD1C87"/>
  </w:style>
  <w:style w:type="character" w:customStyle="1" w:styleId="citation-475">
    <w:name w:val="citation-475"/>
    <w:basedOn w:val="a0"/>
    <w:rsid w:val="00AD1C87"/>
  </w:style>
  <w:style w:type="character" w:customStyle="1" w:styleId="citation-474">
    <w:name w:val="citation-474"/>
    <w:basedOn w:val="a0"/>
    <w:rsid w:val="00AD1C87"/>
  </w:style>
  <w:style w:type="character" w:customStyle="1" w:styleId="citation-473">
    <w:name w:val="citation-473"/>
    <w:basedOn w:val="a0"/>
    <w:rsid w:val="00AD1C87"/>
  </w:style>
  <w:style w:type="character" w:customStyle="1" w:styleId="citation-472">
    <w:name w:val="citation-472"/>
    <w:basedOn w:val="a0"/>
    <w:rsid w:val="00AD1C87"/>
  </w:style>
  <w:style w:type="paragraph" w:styleId="a3">
    <w:name w:val="header"/>
    <w:basedOn w:val="a"/>
    <w:link w:val="a4"/>
    <w:uiPriority w:val="99"/>
    <w:unhideWhenUsed/>
    <w:rsid w:val="00C8516D"/>
    <w:pPr>
      <w:tabs>
        <w:tab w:val="center" w:pos="4153"/>
        <w:tab w:val="right" w:pos="8306"/>
      </w:tabs>
      <w:snapToGrid w:val="0"/>
    </w:pPr>
    <w:rPr>
      <w:sz w:val="20"/>
      <w:szCs w:val="20"/>
    </w:rPr>
  </w:style>
  <w:style w:type="character" w:customStyle="1" w:styleId="a4">
    <w:name w:val="頁首 字元"/>
    <w:basedOn w:val="a0"/>
    <w:link w:val="a3"/>
    <w:uiPriority w:val="99"/>
    <w:rsid w:val="00C8516D"/>
    <w:rPr>
      <w:sz w:val="20"/>
      <w:szCs w:val="20"/>
    </w:rPr>
  </w:style>
  <w:style w:type="paragraph" w:styleId="a5">
    <w:name w:val="footer"/>
    <w:basedOn w:val="a"/>
    <w:link w:val="a6"/>
    <w:uiPriority w:val="99"/>
    <w:unhideWhenUsed/>
    <w:rsid w:val="00C8516D"/>
    <w:pPr>
      <w:tabs>
        <w:tab w:val="center" w:pos="4153"/>
        <w:tab w:val="right" w:pos="8306"/>
      </w:tabs>
      <w:snapToGrid w:val="0"/>
    </w:pPr>
    <w:rPr>
      <w:sz w:val="20"/>
      <w:szCs w:val="20"/>
    </w:rPr>
  </w:style>
  <w:style w:type="character" w:customStyle="1" w:styleId="a6">
    <w:name w:val="頁尾 字元"/>
    <w:basedOn w:val="a0"/>
    <w:link w:val="a5"/>
    <w:uiPriority w:val="99"/>
    <w:rsid w:val="00C851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0847">
      <w:bodyDiv w:val="1"/>
      <w:marLeft w:val="0"/>
      <w:marRight w:val="0"/>
      <w:marTop w:val="0"/>
      <w:marBottom w:val="0"/>
      <w:divBdr>
        <w:top w:val="none" w:sz="0" w:space="0" w:color="auto"/>
        <w:left w:val="none" w:sz="0" w:space="0" w:color="auto"/>
        <w:bottom w:val="none" w:sz="0" w:space="0" w:color="auto"/>
        <w:right w:val="none" w:sz="0" w:space="0" w:color="auto"/>
      </w:divBdr>
    </w:div>
    <w:div w:id="445740552">
      <w:bodyDiv w:val="1"/>
      <w:marLeft w:val="0"/>
      <w:marRight w:val="0"/>
      <w:marTop w:val="0"/>
      <w:marBottom w:val="0"/>
      <w:divBdr>
        <w:top w:val="none" w:sz="0" w:space="0" w:color="auto"/>
        <w:left w:val="none" w:sz="0" w:space="0" w:color="auto"/>
        <w:bottom w:val="none" w:sz="0" w:space="0" w:color="auto"/>
        <w:right w:val="none" w:sz="0" w:space="0" w:color="auto"/>
      </w:divBdr>
    </w:div>
    <w:div w:id="536356805">
      <w:bodyDiv w:val="1"/>
      <w:marLeft w:val="0"/>
      <w:marRight w:val="0"/>
      <w:marTop w:val="0"/>
      <w:marBottom w:val="0"/>
      <w:divBdr>
        <w:top w:val="none" w:sz="0" w:space="0" w:color="auto"/>
        <w:left w:val="none" w:sz="0" w:space="0" w:color="auto"/>
        <w:bottom w:val="none" w:sz="0" w:space="0" w:color="auto"/>
        <w:right w:val="none" w:sz="0" w:space="0" w:color="auto"/>
      </w:divBdr>
    </w:div>
    <w:div w:id="939340347">
      <w:bodyDiv w:val="1"/>
      <w:marLeft w:val="0"/>
      <w:marRight w:val="0"/>
      <w:marTop w:val="0"/>
      <w:marBottom w:val="0"/>
      <w:divBdr>
        <w:top w:val="none" w:sz="0" w:space="0" w:color="auto"/>
        <w:left w:val="none" w:sz="0" w:space="0" w:color="auto"/>
        <w:bottom w:val="none" w:sz="0" w:space="0" w:color="auto"/>
        <w:right w:val="none" w:sz="0" w:space="0" w:color="auto"/>
      </w:divBdr>
    </w:div>
    <w:div w:id="1175995832">
      <w:bodyDiv w:val="1"/>
      <w:marLeft w:val="0"/>
      <w:marRight w:val="0"/>
      <w:marTop w:val="0"/>
      <w:marBottom w:val="0"/>
      <w:divBdr>
        <w:top w:val="none" w:sz="0" w:space="0" w:color="auto"/>
        <w:left w:val="none" w:sz="0" w:space="0" w:color="auto"/>
        <w:bottom w:val="none" w:sz="0" w:space="0" w:color="auto"/>
        <w:right w:val="none" w:sz="0" w:space="0" w:color="auto"/>
      </w:divBdr>
    </w:div>
    <w:div w:id="1192915381">
      <w:bodyDiv w:val="1"/>
      <w:marLeft w:val="0"/>
      <w:marRight w:val="0"/>
      <w:marTop w:val="0"/>
      <w:marBottom w:val="0"/>
      <w:divBdr>
        <w:top w:val="none" w:sz="0" w:space="0" w:color="auto"/>
        <w:left w:val="none" w:sz="0" w:space="0" w:color="auto"/>
        <w:bottom w:val="none" w:sz="0" w:space="0" w:color="auto"/>
        <w:right w:val="none" w:sz="0" w:space="0" w:color="auto"/>
      </w:divBdr>
    </w:div>
    <w:div w:id="1494957105">
      <w:bodyDiv w:val="1"/>
      <w:marLeft w:val="0"/>
      <w:marRight w:val="0"/>
      <w:marTop w:val="0"/>
      <w:marBottom w:val="0"/>
      <w:divBdr>
        <w:top w:val="none" w:sz="0" w:space="0" w:color="auto"/>
        <w:left w:val="none" w:sz="0" w:space="0" w:color="auto"/>
        <w:bottom w:val="none" w:sz="0" w:space="0" w:color="auto"/>
        <w:right w:val="none" w:sz="0" w:space="0" w:color="auto"/>
      </w:divBdr>
    </w:div>
    <w:div w:id="18126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983</TotalTime>
  <Pages>4</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林俊斌</dc:creator>
  <cp:keywords/>
  <dc:description/>
  <cp:lastModifiedBy>林俊斌</cp:lastModifiedBy>
  <cp:revision>4</cp:revision>
  <cp:lastPrinted>2026-03-03T00:35:00Z</cp:lastPrinted>
  <dcterms:created xsi:type="dcterms:W3CDTF">2026-03-02T08:01:00Z</dcterms:created>
  <dcterms:modified xsi:type="dcterms:W3CDTF">2026-03-03T00:40:00Z</dcterms:modified>
</cp:coreProperties>
</file>